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62" w:type="dxa"/>
        <w:tblLayout w:type="fixed"/>
        <w:tblLook w:val="01E0"/>
      </w:tblPr>
      <w:tblGrid>
        <w:gridCol w:w="4815"/>
        <w:gridCol w:w="5445"/>
        <w:gridCol w:w="420"/>
      </w:tblGrid>
      <w:tr w:rsidR="0080580C" w:rsidRPr="00AF3F93" w:rsidTr="00D23D4B">
        <w:trPr>
          <w:gridAfter w:val="1"/>
          <w:wAfter w:w="420" w:type="dxa"/>
        </w:trPr>
        <w:tc>
          <w:tcPr>
            <w:tcW w:w="10260" w:type="dxa"/>
            <w:gridSpan w:val="2"/>
          </w:tcPr>
          <w:tbl>
            <w:tblPr>
              <w:tblW w:w="10062" w:type="dxa"/>
              <w:tblLayout w:type="fixed"/>
              <w:tblLook w:val="01E0"/>
            </w:tblPr>
            <w:tblGrid>
              <w:gridCol w:w="4842"/>
              <w:gridCol w:w="5220"/>
            </w:tblGrid>
            <w:tr w:rsidR="0080580C" w:rsidRPr="00AB568C" w:rsidTr="009E430D">
              <w:tc>
                <w:tcPr>
                  <w:tcW w:w="4842" w:type="dxa"/>
                </w:tcPr>
                <w:p w:rsidR="0080580C" w:rsidRPr="005E2D48" w:rsidRDefault="0080580C" w:rsidP="000D10B4">
                  <w:pPr>
                    <w:spacing w:line="295" w:lineRule="auto"/>
                    <w:jc w:val="center"/>
                  </w:pPr>
                  <w:r w:rsidRPr="005E2D48">
                    <w:t>CÔNG TY CPCK ĐẠI DƯƠNG</w:t>
                  </w:r>
                </w:p>
                <w:p w:rsidR="0080580C" w:rsidRPr="005E2D48" w:rsidRDefault="0080580C" w:rsidP="000D10B4">
                  <w:pPr>
                    <w:spacing w:line="295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5E2D48">
                    <w:rPr>
                      <w:sz w:val="26"/>
                      <w:szCs w:val="26"/>
                    </w:rPr>
                    <w:t>Số</w:t>
                  </w:r>
                  <w:proofErr w:type="spellEnd"/>
                  <w:r w:rsidR="00203B80">
                    <w:rPr>
                      <w:sz w:val="26"/>
                      <w:szCs w:val="26"/>
                    </w:rPr>
                    <w:t>: 214</w:t>
                  </w:r>
                  <w:r w:rsidRPr="005E2D48">
                    <w:rPr>
                      <w:sz w:val="26"/>
                      <w:szCs w:val="26"/>
                    </w:rPr>
                    <w:t>/201</w:t>
                  </w:r>
                  <w:r w:rsidR="009E430D">
                    <w:rPr>
                      <w:sz w:val="26"/>
                      <w:szCs w:val="26"/>
                    </w:rPr>
                    <w:t>5</w:t>
                  </w:r>
                  <w:r w:rsidRPr="005E2D48">
                    <w:rPr>
                      <w:sz w:val="26"/>
                      <w:szCs w:val="26"/>
                    </w:rPr>
                    <w:t>/CV –OCS</w:t>
                  </w:r>
                </w:p>
                <w:p w:rsidR="0080580C" w:rsidRPr="005E2D48" w:rsidRDefault="0080580C" w:rsidP="000D10B4">
                  <w:pPr>
                    <w:spacing w:line="295" w:lineRule="auto"/>
                    <w:jc w:val="center"/>
                    <w:rPr>
                      <w:sz w:val="26"/>
                      <w:szCs w:val="26"/>
                    </w:rPr>
                  </w:pPr>
                  <w:r w:rsidRPr="005E2D48">
                    <w:rPr>
                      <w:sz w:val="26"/>
                      <w:szCs w:val="26"/>
                    </w:rPr>
                    <w:t>-----------------------</w:t>
                  </w:r>
                </w:p>
                <w:p w:rsidR="0080580C" w:rsidRPr="005E2D48" w:rsidRDefault="0080580C" w:rsidP="009E430D">
                  <w:pPr>
                    <w:spacing w:line="295" w:lineRule="auto"/>
                    <w:ind w:right="-378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5E2D48">
                    <w:rPr>
                      <w:i/>
                      <w:sz w:val="26"/>
                      <w:szCs w:val="26"/>
                    </w:rPr>
                    <w:t xml:space="preserve">V/v: </w:t>
                  </w:r>
                  <w:proofErr w:type="spellStart"/>
                  <w:r w:rsidR="001D617D">
                    <w:rPr>
                      <w:i/>
                      <w:sz w:val="26"/>
                      <w:szCs w:val="26"/>
                    </w:rPr>
                    <w:t>B</w:t>
                  </w:r>
                  <w:r w:rsidR="001D617D" w:rsidRPr="001D617D">
                    <w:rPr>
                      <w:i/>
                      <w:sz w:val="26"/>
                      <w:szCs w:val="26"/>
                    </w:rPr>
                    <w:t>áo</w:t>
                  </w:r>
                  <w:proofErr w:type="spellEnd"/>
                  <w:r w:rsidR="001D617D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617D">
                    <w:rPr>
                      <w:i/>
                      <w:sz w:val="26"/>
                      <w:szCs w:val="26"/>
                    </w:rPr>
                    <w:t>c</w:t>
                  </w:r>
                  <w:r w:rsidR="001D617D" w:rsidRPr="001D617D">
                    <w:rPr>
                      <w:i/>
                      <w:sz w:val="26"/>
                      <w:szCs w:val="26"/>
                    </w:rPr>
                    <w:t>áo</w:t>
                  </w:r>
                  <w:proofErr w:type="spellEnd"/>
                  <w:r w:rsidR="001D617D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617D">
                    <w:rPr>
                      <w:i/>
                      <w:sz w:val="26"/>
                      <w:szCs w:val="26"/>
                    </w:rPr>
                    <w:t>t</w:t>
                  </w:r>
                  <w:r w:rsidR="001D617D" w:rsidRPr="001D617D">
                    <w:rPr>
                      <w:i/>
                      <w:sz w:val="26"/>
                      <w:szCs w:val="26"/>
                    </w:rPr>
                    <w:t>ài</w:t>
                  </w:r>
                  <w:proofErr w:type="spellEnd"/>
                  <w:r w:rsidR="001D617D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617D">
                    <w:rPr>
                      <w:i/>
                      <w:sz w:val="26"/>
                      <w:szCs w:val="26"/>
                    </w:rPr>
                    <w:t>ch</w:t>
                  </w:r>
                  <w:r w:rsidR="001D617D" w:rsidRPr="001D617D">
                    <w:rPr>
                      <w:i/>
                      <w:sz w:val="26"/>
                      <w:szCs w:val="26"/>
                    </w:rPr>
                    <w:t>ính</w:t>
                  </w:r>
                  <w:proofErr w:type="spellEnd"/>
                  <w:r w:rsidR="001D617D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617D">
                    <w:rPr>
                      <w:i/>
                      <w:sz w:val="26"/>
                      <w:szCs w:val="26"/>
                    </w:rPr>
                    <w:t>Qu</w:t>
                  </w:r>
                  <w:r w:rsidR="001D617D" w:rsidRPr="001D617D">
                    <w:rPr>
                      <w:i/>
                      <w:sz w:val="26"/>
                      <w:szCs w:val="26"/>
                    </w:rPr>
                    <w:t>ý</w:t>
                  </w:r>
                  <w:proofErr w:type="spellEnd"/>
                  <w:r w:rsidR="001D617D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860EFB">
                    <w:rPr>
                      <w:i/>
                      <w:sz w:val="26"/>
                      <w:szCs w:val="26"/>
                    </w:rPr>
                    <w:t>I</w:t>
                  </w:r>
                  <w:r w:rsidR="001D617D">
                    <w:rPr>
                      <w:i/>
                      <w:sz w:val="26"/>
                      <w:szCs w:val="26"/>
                    </w:rPr>
                    <w:t xml:space="preserve">I </w:t>
                  </w:r>
                  <w:proofErr w:type="spellStart"/>
                  <w:r w:rsidR="001D617D">
                    <w:rPr>
                      <w:i/>
                      <w:sz w:val="26"/>
                      <w:szCs w:val="26"/>
                    </w:rPr>
                    <w:t>n</w:t>
                  </w:r>
                  <w:r w:rsidR="001D617D" w:rsidRPr="001D617D">
                    <w:rPr>
                      <w:i/>
                      <w:sz w:val="26"/>
                      <w:szCs w:val="26"/>
                    </w:rPr>
                    <w:t>ă</w:t>
                  </w:r>
                  <w:r w:rsidR="001D617D">
                    <w:rPr>
                      <w:i/>
                      <w:sz w:val="26"/>
                      <w:szCs w:val="26"/>
                    </w:rPr>
                    <w:t>m</w:t>
                  </w:r>
                  <w:proofErr w:type="spellEnd"/>
                  <w:r w:rsidR="001D617D">
                    <w:rPr>
                      <w:i/>
                      <w:sz w:val="26"/>
                      <w:szCs w:val="26"/>
                    </w:rPr>
                    <w:t xml:space="preserve"> 201</w:t>
                  </w:r>
                  <w:r w:rsidR="009E430D">
                    <w:rPr>
                      <w:i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220" w:type="dxa"/>
                </w:tcPr>
                <w:p w:rsidR="0080580C" w:rsidRPr="005E2D48" w:rsidRDefault="0080580C" w:rsidP="000D10B4">
                  <w:pPr>
                    <w:spacing w:line="295" w:lineRule="auto"/>
                    <w:jc w:val="center"/>
                  </w:pPr>
                  <w:r w:rsidRPr="005E2D48">
                    <w:t>CỘNG HÒA XÃ HỘI CHỦ NGHĨA VIỆT NAM</w:t>
                  </w:r>
                </w:p>
                <w:p w:rsidR="0080580C" w:rsidRPr="005E2D48" w:rsidRDefault="0080580C" w:rsidP="000D10B4">
                  <w:pPr>
                    <w:spacing w:line="295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5E2D48">
                    <w:rPr>
                      <w:sz w:val="26"/>
                      <w:szCs w:val="26"/>
                    </w:rPr>
                    <w:t>Độc</w:t>
                  </w:r>
                  <w:proofErr w:type="spellEnd"/>
                  <w:r w:rsidRPr="005E2D4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E2D48">
                    <w:rPr>
                      <w:sz w:val="26"/>
                      <w:szCs w:val="26"/>
                    </w:rPr>
                    <w:t>lập</w:t>
                  </w:r>
                  <w:proofErr w:type="spellEnd"/>
                  <w:r w:rsidRPr="005E2D48">
                    <w:rPr>
                      <w:sz w:val="26"/>
                      <w:szCs w:val="26"/>
                    </w:rPr>
                    <w:t xml:space="preserve"> -</w:t>
                  </w:r>
                  <w:proofErr w:type="spellStart"/>
                  <w:r w:rsidRPr="005E2D48">
                    <w:rPr>
                      <w:sz w:val="26"/>
                      <w:szCs w:val="26"/>
                    </w:rPr>
                    <w:t>Tự</w:t>
                  </w:r>
                  <w:proofErr w:type="spellEnd"/>
                  <w:r w:rsidRPr="005E2D48">
                    <w:rPr>
                      <w:sz w:val="26"/>
                      <w:szCs w:val="26"/>
                    </w:rPr>
                    <w:t xml:space="preserve"> do -</w:t>
                  </w:r>
                  <w:proofErr w:type="spellStart"/>
                  <w:r w:rsidRPr="005E2D48">
                    <w:rPr>
                      <w:sz w:val="26"/>
                      <w:szCs w:val="26"/>
                    </w:rPr>
                    <w:t>Hạnh</w:t>
                  </w:r>
                  <w:proofErr w:type="spellEnd"/>
                  <w:r w:rsidRPr="005E2D4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E2D48">
                    <w:rPr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80580C" w:rsidRPr="005E2D48" w:rsidRDefault="0080580C" w:rsidP="000D10B4">
                  <w:pPr>
                    <w:spacing w:line="295" w:lineRule="auto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5E2D48">
                    <w:rPr>
                      <w:sz w:val="26"/>
                      <w:szCs w:val="26"/>
                      <w:lang w:val="pt-BR"/>
                    </w:rPr>
                    <w:t>----------o0o----------</w:t>
                  </w:r>
                </w:p>
                <w:p w:rsidR="0080580C" w:rsidRPr="005E2D48" w:rsidRDefault="0080580C" w:rsidP="00290F4E">
                  <w:pPr>
                    <w:spacing w:line="295" w:lineRule="auto"/>
                    <w:rPr>
                      <w:i/>
                      <w:sz w:val="26"/>
                      <w:szCs w:val="26"/>
                      <w:lang w:val="pt-BR"/>
                    </w:rPr>
                  </w:pPr>
                  <w:r w:rsidRPr="005E2D48">
                    <w:rPr>
                      <w:i/>
                      <w:sz w:val="26"/>
                      <w:szCs w:val="26"/>
                      <w:lang w:val="pt-BR"/>
                    </w:rPr>
                    <w:t xml:space="preserve">          </w:t>
                  </w:r>
                </w:p>
                <w:p w:rsidR="0080580C" w:rsidRPr="005E2D48" w:rsidRDefault="0080580C" w:rsidP="009E430D">
                  <w:pPr>
                    <w:spacing w:line="295" w:lineRule="auto"/>
                    <w:jc w:val="right"/>
                    <w:rPr>
                      <w:i/>
                      <w:sz w:val="26"/>
                      <w:szCs w:val="26"/>
                      <w:lang w:val="pt-BR"/>
                    </w:rPr>
                  </w:pPr>
                  <w:r w:rsidRPr="005E2D48">
                    <w:rPr>
                      <w:i/>
                      <w:sz w:val="26"/>
                      <w:szCs w:val="26"/>
                      <w:lang w:val="pt-BR"/>
                    </w:rPr>
                    <w:t xml:space="preserve"> Hà Nội, ngày  </w:t>
                  </w:r>
                  <w:r w:rsidR="009E430D">
                    <w:rPr>
                      <w:i/>
                      <w:sz w:val="26"/>
                      <w:szCs w:val="26"/>
                      <w:lang w:val="pt-BR"/>
                    </w:rPr>
                    <w:t>15</w:t>
                  </w:r>
                  <w:r w:rsidRPr="005E2D48">
                    <w:rPr>
                      <w:i/>
                      <w:sz w:val="26"/>
                      <w:szCs w:val="26"/>
                      <w:lang w:val="pt-BR"/>
                    </w:rPr>
                    <w:t xml:space="preserve"> tháng </w:t>
                  </w:r>
                  <w:r w:rsidR="009E430D">
                    <w:rPr>
                      <w:i/>
                      <w:sz w:val="26"/>
                      <w:szCs w:val="26"/>
                      <w:lang w:val="pt-BR"/>
                    </w:rPr>
                    <w:t>07</w:t>
                  </w:r>
                  <w:r w:rsidRPr="005E2D48">
                    <w:rPr>
                      <w:i/>
                      <w:sz w:val="26"/>
                      <w:szCs w:val="26"/>
                      <w:lang w:val="pt-BR"/>
                    </w:rPr>
                    <w:t xml:space="preserve"> năm 201</w:t>
                  </w:r>
                  <w:r w:rsidR="009E430D">
                    <w:rPr>
                      <w:i/>
                      <w:sz w:val="26"/>
                      <w:szCs w:val="26"/>
                      <w:lang w:val="pt-BR"/>
                    </w:rPr>
                    <w:t>5</w:t>
                  </w:r>
                </w:p>
              </w:tc>
            </w:tr>
          </w:tbl>
          <w:p w:rsidR="003607B3" w:rsidRPr="001B051A" w:rsidRDefault="003607B3" w:rsidP="003607B3">
            <w:pPr>
              <w:pStyle w:val="ListParagraph"/>
              <w:ind w:left="0" w:firstLine="0"/>
              <w:jc w:val="center"/>
              <w:rPr>
                <w:b/>
                <w:bCs/>
                <w:sz w:val="14"/>
                <w:szCs w:val="26"/>
                <w:lang w:val="nl-NL"/>
              </w:rPr>
            </w:pPr>
          </w:p>
          <w:p w:rsidR="003607B3" w:rsidRPr="00206991" w:rsidRDefault="003607B3" w:rsidP="003607B3">
            <w:pPr>
              <w:pStyle w:val="ListParagraph"/>
              <w:ind w:left="0" w:firstLine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06991">
              <w:rPr>
                <w:b/>
                <w:bCs/>
                <w:sz w:val="26"/>
                <w:szCs w:val="26"/>
                <w:lang w:val="nl-NL"/>
              </w:rPr>
              <w:t xml:space="preserve">Kính gửi: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- </w:t>
            </w:r>
            <w:r w:rsidRPr="00206991">
              <w:rPr>
                <w:b/>
                <w:bCs/>
                <w:sz w:val="26"/>
                <w:szCs w:val="26"/>
                <w:lang w:val="nl-NL"/>
              </w:rPr>
              <w:t>Ủy ban Chứng khoán Nhà nước</w:t>
            </w:r>
          </w:p>
          <w:p w:rsidR="003607B3" w:rsidRDefault="00FA6940" w:rsidP="003607B3">
            <w:pPr>
              <w:pStyle w:val="ListParagraph"/>
              <w:tabs>
                <w:tab w:val="left" w:pos="2301"/>
                <w:tab w:val="left" w:pos="3294"/>
                <w:tab w:val="left" w:pos="3402"/>
              </w:tabs>
              <w:ind w:left="3119" w:firstLine="0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     </w:t>
            </w:r>
            <w:r w:rsidR="003607B3">
              <w:rPr>
                <w:b/>
                <w:bCs/>
                <w:sz w:val="26"/>
                <w:szCs w:val="26"/>
                <w:lang w:val="nl-NL"/>
              </w:rPr>
              <w:t xml:space="preserve">-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3607B3" w:rsidRPr="00206991">
              <w:rPr>
                <w:b/>
                <w:bCs/>
                <w:sz w:val="26"/>
                <w:szCs w:val="26"/>
                <w:lang w:val="nl-NL"/>
              </w:rPr>
              <w:t>Sở Giao dịch Chứng khoán TP</w:t>
            </w:r>
            <w:r w:rsidR="003607B3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3607B3" w:rsidRPr="00206991">
              <w:rPr>
                <w:b/>
                <w:bCs/>
                <w:sz w:val="26"/>
                <w:szCs w:val="26"/>
                <w:lang w:val="nl-NL"/>
              </w:rPr>
              <w:t>HCM</w:t>
            </w:r>
          </w:p>
          <w:p w:rsidR="002369A7" w:rsidRPr="00206991" w:rsidRDefault="00FA6940" w:rsidP="003607B3">
            <w:pPr>
              <w:pStyle w:val="ListParagraph"/>
              <w:tabs>
                <w:tab w:val="left" w:pos="2301"/>
                <w:tab w:val="left" w:pos="3294"/>
                <w:tab w:val="left" w:pos="3402"/>
              </w:tabs>
              <w:ind w:left="3119" w:firstLine="0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     </w:t>
            </w:r>
            <w:r w:rsidR="002369A7">
              <w:rPr>
                <w:b/>
                <w:bCs/>
                <w:sz w:val="26"/>
                <w:szCs w:val="26"/>
                <w:lang w:val="nl-NL"/>
              </w:rPr>
              <w:t xml:space="preserve">-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2369A7">
              <w:rPr>
                <w:b/>
                <w:bCs/>
                <w:sz w:val="26"/>
                <w:szCs w:val="26"/>
                <w:lang w:val="nl-NL"/>
              </w:rPr>
              <w:t>Sở Giao dịch Chứng khoán Hà Nội.</w:t>
            </w:r>
          </w:p>
          <w:p w:rsidR="003607B3" w:rsidRPr="00206991" w:rsidRDefault="003607B3" w:rsidP="003607B3">
            <w:pPr>
              <w:tabs>
                <w:tab w:val="left" w:pos="6435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nl-NL"/>
              </w:rPr>
            </w:pPr>
          </w:p>
          <w:p w:rsidR="003607B3" w:rsidRPr="00290F4E" w:rsidRDefault="003607B3" w:rsidP="003607B3">
            <w:pPr>
              <w:autoSpaceDE w:val="0"/>
              <w:autoSpaceDN w:val="0"/>
              <w:adjustRightInd w:val="0"/>
              <w:rPr>
                <w:sz w:val="26"/>
                <w:szCs w:val="26"/>
                <w:lang w:val="nl-NL"/>
              </w:rPr>
            </w:pPr>
            <w:r w:rsidRPr="00290F4E">
              <w:rPr>
                <w:sz w:val="26"/>
                <w:szCs w:val="26"/>
                <w:lang w:val="nl-NL"/>
              </w:rPr>
              <w:t xml:space="preserve">Công ty: </w:t>
            </w:r>
            <w:r w:rsidRPr="00290F4E">
              <w:rPr>
                <w:sz w:val="26"/>
                <w:szCs w:val="26"/>
                <w:lang w:val="nl-NL"/>
              </w:rPr>
              <w:tab/>
            </w:r>
            <w:r w:rsidRPr="00290F4E">
              <w:rPr>
                <w:sz w:val="26"/>
                <w:szCs w:val="26"/>
                <w:lang w:val="nl-NL"/>
              </w:rPr>
              <w:tab/>
            </w:r>
            <w:r w:rsidRPr="00290F4E">
              <w:rPr>
                <w:b/>
                <w:sz w:val="26"/>
                <w:szCs w:val="26"/>
                <w:lang w:val="nl-NL"/>
              </w:rPr>
              <w:t>Công ty Cổ phần Chứng khoán Đại Dương</w:t>
            </w:r>
          </w:p>
          <w:p w:rsidR="003607B3" w:rsidRPr="00290F4E" w:rsidRDefault="003607B3" w:rsidP="003607B3">
            <w:pPr>
              <w:autoSpaceDE w:val="0"/>
              <w:autoSpaceDN w:val="0"/>
              <w:adjustRightInd w:val="0"/>
              <w:ind w:left="2160" w:hanging="2160"/>
              <w:rPr>
                <w:sz w:val="26"/>
                <w:szCs w:val="26"/>
                <w:lang w:val="nl-NL"/>
              </w:rPr>
            </w:pPr>
            <w:r w:rsidRPr="00290F4E">
              <w:rPr>
                <w:sz w:val="26"/>
                <w:szCs w:val="26"/>
                <w:lang w:val="nl-NL"/>
              </w:rPr>
              <w:t>Địa chỉ trụ sở chính: Tầng 1 &amp;7 Tòa nhà Trung Yên Plaza, Lô O17, Khu đô Thị mới Trung Yên, Phường Trung Hòa, Quận Cầu Giấy, Hà Nội.</w:t>
            </w:r>
          </w:p>
          <w:p w:rsidR="003607B3" w:rsidRPr="00290F4E" w:rsidRDefault="003607B3" w:rsidP="003607B3">
            <w:pPr>
              <w:autoSpaceDE w:val="0"/>
              <w:autoSpaceDN w:val="0"/>
              <w:adjustRightInd w:val="0"/>
              <w:rPr>
                <w:sz w:val="26"/>
                <w:szCs w:val="26"/>
                <w:lang w:val="nl-NL"/>
              </w:rPr>
            </w:pPr>
            <w:r w:rsidRPr="00290F4E">
              <w:rPr>
                <w:sz w:val="26"/>
                <w:szCs w:val="26"/>
                <w:lang w:val="nl-NL"/>
              </w:rPr>
              <w:t xml:space="preserve">Điện thoại: </w:t>
            </w:r>
            <w:r w:rsidRPr="00290F4E">
              <w:rPr>
                <w:sz w:val="26"/>
                <w:szCs w:val="26"/>
                <w:lang w:val="nl-NL"/>
              </w:rPr>
              <w:tab/>
            </w:r>
            <w:r w:rsidRPr="00290F4E">
              <w:rPr>
                <w:sz w:val="26"/>
                <w:szCs w:val="26"/>
                <w:lang w:val="nl-NL"/>
              </w:rPr>
              <w:tab/>
              <w:t>043 7726699</w:t>
            </w:r>
            <w:r w:rsidR="0001786A" w:rsidRPr="00290F4E">
              <w:rPr>
                <w:sz w:val="26"/>
                <w:szCs w:val="26"/>
                <w:lang w:val="nl-NL"/>
              </w:rPr>
              <w:t xml:space="preserve">.                 </w:t>
            </w:r>
            <w:r w:rsidRPr="00290F4E">
              <w:rPr>
                <w:sz w:val="26"/>
                <w:szCs w:val="26"/>
                <w:lang w:val="nl-NL"/>
              </w:rPr>
              <w:t>Fax:</w:t>
            </w:r>
            <w:r w:rsidRPr="00290F4E">
              <w:rPr>
                <w:sz w:val="26"/>
                <w:szCs w:val="26"/>
                <w:lang w:val="nl-NL"/>
              </w:rPr>
              <w:tab/>
            </w:r>
            <w:r w:rsidRPr="00290F4E">
              <w:rPr>
                <w:sz w:val="26"/>
                <w:szCs w:val="26"/>
                <w:lang w:val="nl-NL"/>
              </w:rPr>
              <w:tab/>
            </w:r>
            <w:r w:rsidRPr="00290F4E">
              <w:rPr>
                <w:sz w:val="26"/>
                <w:szCs w:val="26"/>
                <w:lang w:val="nl-NL"/>
              </w:rPr>
              <w:tab/>
              <w:t>043 7726763</w:t>
            </w:r>
          </w:p>
          <w:p w:rsidR="003607B3" w:rsidRPr="00290F4E" w:rsidRDefault="003607B3" w:rsidP="003607B3">
            <w:pPr>
              <w:autoSpaceDE w:val="0"/>
              <w:autoSpaceDN w:val="0"/>
              <w:adjustRightInd w:val="0"/>
              <w:rPr>
                <w:sz w:val="26"/>
                <w:szCs w:val="26"/>
                <w:lang w:val="nl-NL"/>
              </w:rPr>
            </w:pPr>
            <w:r w:rsidRPr="00290F4E">
              <w:rPr>
                <w:sz w:val="26"/>
                <w:szCs w:val="26"/>
                <w:lang w:val="nl-NL"/>
              </w:rPr>
              <w:t>Người thực hiện công bố thông tin: Nguyễn Thị Phương Thảo</w:t>
            </w:r>
          </w:p>
          <w:p w:rsidR="003607B3" w:rsidRPr="00290F4E" w:rsidRDefault="003607B3" w:rsidP="003607B3">
            <w:pPr>
              <w:autoSpaceDE w:val="0"/>
              <w:autoSpaceDN w:val="0"/>
              <w:adjustRightInd w:val="0"/>
              <w:rPr>
                <w:sz w:val="26"/>
                <w:szCs w:val="26"/>
                <w:lang w:val="nl-NL"/>
              </w:rPr>
            </w:pPr>
            <w:r w:rsidRPr="00290F4E">
              <w:rPr>
                <w:sz w:val="26"/>
                <w:szCs w:val="26"/>
                <w:lang w:val="nl-NL"/>
              </w:rPr>
              <w:t>Điện thoại (di động, cơ quan, nhà riêng): 0904680052</w:t>
            </w:r>
          </w:p>
          <w:p w:rsidR="003607B3" w:rsidRPr="00290F4E" w:rsidRDefault="00946487" w:rsidP="003607B3">
            <w:pPr>
              <w:tabs>
                <w:tab w:val="right" w:pos="878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w:pict>
                <v:rect id="_x0000_s1028" style="position:absolute;margin-left:290pt;margin-top:1.95pt;width:8.25pt;height:9.75pt;z-index:251660288"/>
              </w:pict>
            </w:r>
            <w:r>
              <w:rPr>
                <w:noProof/>
                <w:sz w:val="26"/>
                <w:szCs w:val="26"/>
              </w:rPr>
              <w:pict>
                <v:rect id="_x0000_s1027" style="position:absolute;margin-left:221pt;margin-top:1.95pt;width:8.25pt;height:9.75pt;z-index:251661312"/>
              </w:pict>
            </w:r>
            <w:r>
              <w:rPr>
                <w:noProof/>
                <w:sz w:val="26"/>
                <w:szCs w:val="26"/>
              </w:rPr>
              <w:pict>
                <v:rect id="_x0000_s1026" style="position:absolute;margin-left:173pt;margin-top:1.95pt;width:8.25pt;height:9.75pt;z-index:251662336"/>
              </w:pict>
            </w:r>
            <w:r>
              <w:rPr>
                <w:noProof/>
                <w:sz w:val="26"/>
                <w:szCs w:val="26"/>
              </w:rPr>
              <w:pict>
                <v:rect id="_x0000_s1030" style="position:absolute;margin-left:125.75pt;margin-top:1.95pt;width:8.25pt;height:9.75pt;z-index:251663360"/>
              </w:pict>
            </w:r>
            <w:r>
              <w:rPr>
                <w:noProof/>
                <w:sz w:val="26"/>
                <w:szCs w:val="26"/>
              </w:rPr>
              <w:pict>
                <v:rect id="_x0000_s1029" style="position:absolute;margin-left:371pt;margin-top:1.95pt;width:8.25pt;height:9.75pt;z-index:251664384"/>
              </w:pict>
            </w:r>
            <w:r w:rsidR="003607B3" w:rsidRPr="00290F4E">
              <w:rPr>
                <w:sz w:val="26"/>
                <w:szCs w:val="26"/>
                <w:lang w:val="nl-NL"/>
              </w:rPr>
              <w:t>Loại thông tin công bố      24 giờ    72 giờ     bất thường    theo yêu cầu      định kỳ:</w:t>
            </w:r>
          </w:p>
          <w:p w:rsidR="003607B3" w:rsidRPr="00290F4E" w:rsidRDefault="003607B3" w:rsidP="003607B3">
            <w:pPr>
              <w:autoSpaceDE w:val="0"/>
              <w:autoSpaceDN w:val="0"/>
              <w:adjustRightInd w:val="0"/>
              <w:rPr>
                <w:sz w:val="26"/>
                <w:szCs w:val="26"/>
                <w:lang w:val="nl-NL"/>
              </w:rPr>
            </w:pPr>
          </w:p>
          <w:p w:rsidR="00F50E3D" w:rsidRPr="00290F4E" w:rsidRDefault="003607B3" w:rsidP="00360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90F4E">
              <w:rPr>
                <w:b/>
                <w:sz w:val="26"/>
                <w:szCs w:val="26"/>
              </w:rPr>
              <w:t>Nội</w:t>
            </w:r>
            <w:proofErr w:type="spellEnd"/>
            <w:r w:rsidRPr="00290F4E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290F4E">
              <w:rPr>
                <w:b/>
                <w:sz w:val="26"/>
                <w:szCs w:val="26"/>
              </w:rPr>
              <w:t>thông</w:t>
            </w:r>
            <w:proofErr w:type="spellEnd"/>
            <w:r w:rsidRPr="00290F4E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290F4E">
              <w:rPr>
                <w:b/>
                <w:sz w:val="26"/>
                <w:szCs w:val="26"/>
              </w:rPr>
              <w:t>công</w:t>
            </w:r>
            <w:proofErr w:type="spellEnd"/>
            <w:r w:rsidRPr="00290F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b/>
                <w:sz w:val="26"/>
                <w:szCs w:val="26"/>
              </w:rPr>
              <w:t>bố</w:t>
            </w:r>
            <w:proofErr w:type="spellEnd"/>
            <w:r w:rsidRPr="00290F4E">
              <w:rPr>
                <w:sz w:val="26"/>
                <w:szCs w:val="26"/>
              </w:rPr>
              <w:t xml:space="preserve">:  </w:t>
            </w:r>
          </w:p>
          <w:p w:rsidR="001D617D" w:rsidRPr="009E430D" w:rsidRDefault="001D617D" w:rsidP="009E43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E430D">
              <w:rPr>
                <w:sz w:val="26"/>
                <w:szCs w:val="26"/>
              </w:rPr>
              <w:t>Công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bố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thông</w:t>
            </w:r>
            <w:proofErr w:type="spellEnd"/>
            <w:r w:rsidRPr="009E430D">
              <w:rPr>
                <w:sz w:val="26"/>
                <w:szCs w:val="26"/>
              </w:rPr>
              <w:t xml:space="preserve"> tin </w:t>
            </w:r>
            <w:proofErr w:type="spellStart"/>
            <w:r w:rsidRPr="009E430D">
              <w:rPr>
                <w:sz w:val="26"/>
                <w:szCs w:val="26"/>
              </w:rPr>
              <w:t>giải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trình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chênh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lệch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="00297A52" w:rsidRPr="009E430D">
              <w:rPr>
                <w:sz w:val="26"/>
                <w:szCs w:val="26"/>
              </w:rPr>
              <w:t>tăng</w:t>
            </w:r>
            <w:proofErr w:type="spellEnd"/>
            <w:r w:rsidR="00297A52"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trên</w:t>
            </w:r>
            <w:proofErr w:type="spellEnd"/>
            <w:r w:rsidRPr="009E430D">
              <w:rPr>
                <w:sz w:val="26"/>
                <w:szCs w:val="26"/>
              </w:rPr>
              <w:t xml:space="preserve"> 10% </w:t>
            </w:r>
            <w:proofErr w:type="spellStart"/>
            <w:r w:rsidRPr="009E430D">
              <w:rPr>
                <w:sz w:val="26"/>
                <w:szCs w:val="26"/>
              </w:rPr>
              <w:t>Lợi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nhuận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sau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thuế</w:t>
            </w:r>
            <w:proofErr w:type="spellEnd"/>
            <w:r w:rsidRPr="009E430D">
              <w:rPr>
                <w:sz w:val="26"/>
                <w:szCs w:val="26"/>
              </w:rPr>
              <w:t xml:space="preserve"> so </w:t>
            </w:r>
            <w:proofErr w:type="spellStart"/>
            <w:r w:rsidRPr="009E430D">
              <w:rPr>
                <w:sz w:val="26"/>
                <w:szCs w:val="26"/>
              </w:rPr>
              <w:t>với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cùng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kỳ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năm</w:t>
            </w:r>
            <w:proofErr w:type="spellEnd"/>
            <w:r w:rsidRPr="009E430D">
              <w:rPr>
                <w:sz w:val="26"/>
                <w:szCs w:val="26"/>
              </w:rPr>
              <w:t xml:space="preserve"> </w:t>
            </w:r>
            <w:proofErr w:type="spellStart"/>
            <w:r w:rsidRPr="009E430D">
              <w:rPr>
                <w:sz w:val="26"/>
                <w:szCs w:val="26"/>
              </w:rPr>
              <w:t>trước</w:t>
            </w:r>
            <w:proofErr w:type="spellEnd"/>
            <w:r w:rsidRPr="009E430D">
              <w:rPr>
                <w:sz w:val="26"/>
                <w:szCs w:val="26"/>
              </w:rPr>
              <w:t xml:space="preserve">. </w:t>
            </w:r>
          </w:p>
          <w:tbl>
            <w:tblPr>
              <w:tblW w:w="9780" w:type="dxa"/>
              <w:tblLayout w:type="fixed"/>
              <w:tblLook w:val="04A0"/>
            </w:tblPr>
            <w:tblGrid>
              <w:gridCol w:w="4600"/>
              <w:gridCol w:w="2032"/>
              <w:gridCol w:w="1890"/>
              <w:gridCol w:w="1258"/>
            </w:tblGrid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9E430D">
                    <w:rPr>
                      <w:b/>
                      <w:bCs/>
                      <w:sz w:val="26"/>
                      <w:szCs w:val="26"/>
                    </w:rPr>
                    <w:t>Chỉ</w:t>
                  </w:r>
                  <w:proofErr w:type="spellEnd"/>
                  <w:r w:rsidRPr="009E430D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b/>
                      <w:bCs/>
                      <w:sz w:val="26"/>
                      <w:szCs w:val="26"/>
                    </w:rPr>
                    <w:t>tiêu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9E430D">
                    <w:rPr>
                      <w:b/>
                      <w:bCs/>
                      <w:sz w:val="26"/>
                      <w:szCs w:val="26"/>
                    </w:rPr>
                    <w:t>Năm</w:t>
                  </w:r>
                  <w:proofErr w:type="spellEnd"/>
                  <w:r w:rsidRPr="009E430D">
                    <w:rPr>
                      <w:b/>
                      <w:bCs/>
                      <w:sz w:val="26"/>
                      <w:szCs w:val="26"/>
                    </w:rPr>
                    <w:t xml:space="preserve"> nay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9E430D">
                    <w:rPr>
                      <w:b/>
                      <w:bCs/>
                      <w:sz w:val="26"/>
                      <w:szCs w:val="26"/>
                    </w:rPr>
                    <w:t>Năm</w:t>
                  </w:r>
                  <w:proofErr w:type="spellEnd"/>
                  <w:r w:rsidRPr="009E430D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9E430D">
                    <w:rPr>
                      <w:b/>
                      <w:bCs/>
                      <w:sz w:val="26"/>
                      <w:szCs w:val="26"/>
                    </w:rPr>
                    <w:t>trước</w:t>
                  </w:r>
                  <w:proofErr w:type="spellEnd"/>
                </w:p>
              </w:tc>
              <w:tc>
                <w:tcPr>
                  <w:tcW w:w="1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E430D">
                    <w:rPr>
                      <w:b/>
                      <w:bCs/>
                      <w:sz w:val="26"/>
                      <w:szCs w:val="26"/>
                    </w:rPr>
                    <w:t xml:space="preserve">% </w:t>
                  </w:r>
                  <w:proofErr w:type="spellStart"/>
                  <w:r w:rsidRPr="009E430D">
                    <w:rPr>
                      <w:b/>
                      <w:bCs/>
                      <w:sz w:val="26"/>
                      <w:szCs w:val="26"/>
                    </w:rPr>
                    <w:t>thay</w:t>
                  </w:r>
                  <w:proofErr w:type="spellEnd"/>
                  <w:r w:rsidRPr="009E430D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b/>
                      <w:bCs/>
                      <w:sz w:val="26"/>
                      <w:szCs w:val="26"/>
                    </w:rPr>
                    <w:t>đổi</w:t>
                  </w:r>
                  <w:proofErr w:type="spellEnd"/>
                </w:p>
              </w:tc>
            </w:tr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Doanh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thu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hoạt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động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kinh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doanh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chứng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khoán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19,751,592,892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51,277,998,666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-61%</w:t>
                  </w:r>
                </w:p>
              </w:tc>
            </w:tr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 xml:space="preserve">2. Chi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phí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hoạt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động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kinh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doanh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chứng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khoán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14,419,360,421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30,628,675,576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-53%</w:t>
                  </w:r>
                </w:p>
              </w:tc>
            </w:tr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 xml:space="preserve">3.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Lợi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nhuận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từ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hoạt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động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kinh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doanh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chứng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khoán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5,332,232,471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20,649,323,090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-74%</w:t>
                  </w:r>
                </w:p>
              </w:tc>
            </w:tr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 xml:space="preserve">4.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Lợi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nhuận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khác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-25,698,834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2,850,000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-1002%</w:t>
                  </w:r>
                </w:p>
              </w:tc>
            </w:tr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5 .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Tổng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lợi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nhuận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trước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thuế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5,306,533,637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20,652,173,090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-74%</w:t>
                  </w:r>
                </w:p>
              </w:tc>
            </w:tr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 xml:space="preserve">6. Chi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phí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thuế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TNDN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hiện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hành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1,167,290,902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3,754,203,852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-69%</w:t>
                  </w:r>
                </w:p>
              </w:tc>
            </w:tr>
            <w:tr w:rsidR="009E430D" w:rsidRPr="009E430D" w:rsidTr="006A632B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E430D" w:rsidRPr="009E430D" w:rsidRDefault="009E430D" w:rsidP="009E430D">
                  <w:pPr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 xml:space="preserve">7.Lợi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nhuận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sau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E430D">
                    <w:rPr>
                      <w:sz w:val="26"/>
                      <w:szCs w:val="26"/>
                    </w:rPr>
                    <w:t>thuế</w:t>
                  </w:r>
                  <w:proofErr w:type="spellEnd"/>
                  <w:r w:rsidRPr="009E430D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4,139,242,735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right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16,897,969,238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E430D" w:rsidRPr="009E430D" w:rsidRDefault="009E430D" w:rsidP="009E430D">
                  <w:pPr>
                    <w:jc w:val="center"/>
                    <w:rPr>
                      <w:sz w:val="26"/>
                      <w:szCs w:val="26"/>
                    </w:rPr>
                  </w:pPr>
                  <w:r w:rsidRPr="009E430D">
                    <w:rPr>
                      <w:sz w:val="26"/>
                      <w:szCs w:val="26"/>
                    </w:rPr>
                    <w:t>-76%</w:t>
                  </w:r>
                </w:p>
              </w:tc>
            </w:tr>
          </w:tbl>
          <w:p w:rsidR="00860EFB" w:rsidRDefault="00860EFB" w:rsidP="00860EFB">
            <w:pPr>
              <w:pStyle w:val="ListParagraph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390220" w:rsidRPr="00290F4E" w:rsidRDefault="00390220" w:rsidP="0001786A">
            <w:pPr>
              <w:autoSpaceDE w:val="0"/>
              <w:autoSpaceDN w:val="0"/>
              <w:adjustRightInd w:val="0"/>
              <w:ind w:left="-18" w:firstLine="18"/>
              <w:jc w:val="both"/>
              <w:rPr>
                <w:sz w:val="26"/>
                <w:szCs w:val="26"/>
              </w:rPr>
            </w:pPr>
            <w:proofErr w:type="spellStart"/>
            <w:r w:rsidRPr="00290F4E">
              <w:rPr>
                <w:sz w:val="26"/>
                <w:szCs w:val="26"/>
              </w:rPr>
              <w:t>Lợi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nhuận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sau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thuế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="001B051A" w:rsidRPr="00290F4E">
              <w:rPr>
                <w:sz w:val="26"/>
                <w:szCs w:val="26"/>
              </w:rPr>
              <w:t>Quý</w:t>
            </w:r>
            <w:proofErr w:type="spellEnd"/>
            <w:r w:rsidR="001B051A" w:rsidRPr="00290F4E">
              <w:rPr>
                <w:sz w:val="26"/>
                <w:szCs w:val="26"/>
              </w:rPr>
              <w:t xml:space="preserve"> </w:t>
            </w:r>
            <w:r w:rsidR="00BE73FC">
              <w:rPr>
                <w:sz w:val="26"/>
                <w:szCs w:val="26"/>
              </w:rPr>
              <w:t>I</w:t>
            </w:r>
            <w:r w:rsidR="00297A52">
              <w:rPr>
                <w:sz w:val="26"/>
                <w:szCs w:val="26"/>
              </w:rPr>
              <w:t>I</w:t>
            </w:r>
            <w:r w:rsidR="001B051A" w:rsidRPr="00290F4E">
              <w:rPr>
                <w:sz w:val="26"/>
                <w:szCs w:val="26"/>
              </w:rPr>
              <w:t xml:space="preserve"> </w:t>
            </w:r>
            <w:proofErr w:type="spellStart"/>
            <w:r w:rsidR="001B051A" w:rsidRPr="00290F4E">
              <w:rPr>
                <w:sz w:val="26"/>
                <w:szCs w:val="26"/>
              </w:rPr>
              <w:t>năm</w:t>
            </w:r>
            <w:proofErr w:type="spellEnd"/>
            <w:r w:rsidRPr="00290F4E">
              <w:rPr>
                <w:sz w:val="26"/>
                <w:szCs w:val="26"/>
              </w:rPr>
              <w:t xml:space="preserve"> 201</w:t>
            </w:r>
            <w:r w:rsidR="009E430D">
              <w:rPr>
                <w:sz w:val="26"/>
                <w:szCs w:val="26"/>
              </w:rPr>
              <w:t>5</w:t>
            </w:r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="009E430D">
              <w:rPr>
                <w:sz w:val="26"/>
                <w:szCs w:val="26"/>
              </w:rPr>
              <w:t>giảm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r w:rsidR="006A632B">
              <w:rPr>
                <w:sz w:val="26"/>
                <w:szCs w:val="26"/>
              </w:rPr>
              <w:t>76</w:t>
            </w:r>
            <w:r w:rsidR="00290F4E">
              <w:rPr>
                <w:sz w:val="26"/>
                <w:szCs w:val="26"/>
              </w:rPr>
              <w:t>% so</w:t>
            </w:r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với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cùng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kỳ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năm</w:t>
            </w:r>
            <w:proofErr w:type="spellEnd"/>
            <w:r w:rsidRPr="00290F4E">
              <w:rPr>
                <w:sz w:val="26"/>
                <w:szCs w:val="26"/>
              </w:rPr>
              <w:t xml:space="preserve"> 201</w:t>
            </w:r>
            <w:r w:rsidR="00297A52">
              <w:rPr>
                <w:sz w:val="26"/>
                <w:szCs w:val="26"/>
              </w:rPr>
              <w:t>4</w:t>
            </w:r>
            <w:r w:rsidRPr="00290F4E">
              <w:rPr>
                <w:sz w:val="26"/>
                <w:szCs w:val="26"/>
              </w:rPr>
              <w:t xml:space="preserve"> do </w:t>
            </w:r>
            <w:proofErr w:type="spellStart"/>
            <w:r w:rsidRPr="00290F4E">
              <w:rPr>
                <w:sz w:val="26"/>
                <w:szCs w:val="26"/>
              </w:rPr>
              <w:t>nguyên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nhân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chủ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yếu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sau</w:t>
            </w:r>
            <w:proofErr w:type="spellEnd"/>
            <w:r w:rsidRPr="00290F4E">
              <w:rPr>
                <w:sz w:val="26"/>
                <w:szCs w:val="26"/>
              </w:rPr>
              <w:t xml:space="preserve">: </w:t>
            </w:r>
            <w:r w:rsidR="001B051A" w:rsidRPr="00290F4E">
              <w:rPr>
                <w:color w:val="000000"/>
                <w:sz w:val="26"/>
                <w:szCs w:val="26"/>
                <w:lang w:val="pt-BR"/>
              </w:rPr>
              <w:t>Quý I</w:t>
            </w:r>
            <w:r w:rsidR="009E430D">
              <w:rPr>
                <w:color w:val="000000"/>
                <w:sz w:val="26"/>
                <w:szCs w:val="26"/>
                <w:lang w:val="pt-BR"/>
              </w:rPr>
              <w:t>I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 xml:space="preserve"> n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ă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 xml:space="preserve">m </w:t>
            </w:r>
            <w:r w:rsidR="001B051A" w:rsidRPr="00290F4E">
              <w:rPr>
                <w:color w:val="000000"/>
                <w:sz w:val="26"/>
                <w:szCs w:val="26"/>
                <w:lang w:val="pt-BR"/>
              </w:rPr>
              <w:t>201</w:t>
            </w:r>
            <w:r w:rsidR="009E430D">
              <w:rPr>
                <w:color w:val="000000"/>
                <w:sz w:val="26"/>
                <w:szCs w:val="26"/>
                <w:lang w:val="pt-BR"/>
              </w:rPr>
              <w:t>5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th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ị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trư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ờn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>g ch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ứng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kh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oán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giao d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ịch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="009E430D">
              <w:rPr>
                <w:color w:val="000000"/>
                <w:sz w:val="26"/>
                <w:szCs w:val="26"/>
                <w:lang w:val="pt-BR"/>
              </w:rPr>
              <w:t xml:space="preserve">sụt </w:t>
            </w:r>
            <w:proofErr w:type="gramStart"/>
            <w:r w:rsidR="009E430D">
              <w:rPr>
                <w:color w:val="000000"/>
                <w:sz w:val="26"/>
                <w:szCs w:val="26"/>
                <w:lang w:val="pt-BR"/>
              </w:rPr>
              <w:t xml:space="preserve">giảm 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 xml:space="preserve"> h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ơ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>n</w:t>
            </w:r>
            <w:proofErr w:type="gramEnd"/>
            <w:r w:rsidR="00BE73FC">
              <w:rPr>
                <w:color w:val="000000"/>
                <w:sz w:val="26"/>
                <w:szCs w:val="26"/>
                <w:lang w:val="pt-BR"/>
              </w:rPr>
              <w:t xml:space="preserve"> so v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ới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 xml:space="preserve"> c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ùng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 xml:space="preserve"> k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ỳ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 xml:space="preserve"> n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ă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>m 201</w:t>
            </w:r>
            <w:r w:rsidR="009E430D">
              <w:rPr>
                <w:color w:val="000000"/>
                <w:sz w:val="26"/>
                <w:szCs w:val="26"/>
                <w:lang w:val="pt-BR"/>
              </w:rPr>
              <w:t>4</w:t>
            </w:r>
            <w:r w:rsidR="00297A52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="00BE283E">
              <w:rPr>
                <w:color w:val="000000"/>
                <w:sz w:val="26"/>
                <w:szCs w:val="26"/>
                <w:lang w:val="pt-BR"/>
              </w:rPr>
              <w:t>n</w:t>
            </w:r>
            <w:r w:rsidR="00BE283E" w:rsidRPr="00BE283E">
              <w:rPr>
                <w:color w:val="000000"/>
                <w:sz w:val="26"/>
                <w:szCs w:val="26"/>
                <w:lang w:val="pt-BR"/>
              </w:rPr>
              <w:t>ê</w:t>
            </w:r>
            <w:r w:rsidR="00BE283E">
              <w:rPr>
                <w:color w:val="000000"/>
                <w:sz w:val="26"/>
                <w:szCs w:val="26"/>
                <w:lang w:val="pt-BR"/>
              </w:rPr>
              <w:t>n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doanh thu 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>c</w:t>
            </w:r>
            <w:r w:rsidR="00D327BF" w:rsidRPr="00D327BF">
              <w:rPr>
                <w:color w:val="000000"/>
                <w:sz w:val="26"/>
                <w:szCs w:val="26"/>
                <w:lang w:val="pt-BR"/>
              </w:rPr>
              <w:t>ác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 xml:space="preserve"> ho</w:t>
            </w:r>
            <w:r w:rsidR="00D327BF" w:rsidRPr="00D327BF">
              <w:rPr>
                <w:color w:val="000000"/>
                <w:sz w:val="26"/>
                <w:szCs w:val="26"/>
                <w:lang w:val="pt-BR"/>
              </w:rPr>
              <w:t>ạt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 xml:space="preserve"> đ</w:t>
            </w:r>
            <w:r w:rsidR="00D327BF" w:rsidRPr="00D327BF">
              <w:rPr>
                <w:color w:val="000000"/>
                <w:sz w:val="26"/>
                <w:szCs w:val="26"/>
                <w:lang w:val="pt-BR"/>
              </w:rPr>
              <w:t>ộng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 xml:space="preserve"> nghi</w:t>
            </w:r>
            <w:r w:rsidR="00D327BF" w:rsidRPr="00D327BF">
              <w:rPr>
                <w:color w:val="000000"/>
                <w:sz w:val="26"/>
                <w:szCs w:val="26"/>
                <w:lang w:val="pt-BR"/>
              </w:rPr>
              <w:t>ệp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 xml:space="preserve"> v</w:t>
            </w:r>
            <w:r w:rsidR="00D327BF" w:rsidRPr="00D327BF">
              <w:rPr>
                <w:color w:val="000000"/>
                <w:sz w:val="26"/>
                <w:szCs w:val="26"/>
                <w:lang w:val="pt-BR"/>
              </w:rPr>
              <w:t>ụ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 xml:space="preserve"> ch</w:t>
            </w:r>
            <w:r w:rsidR="00D327BF" w:rsidRPr="00D327BF">
              <w:rPr>
                <w:color w:val="000000"/>
                <w:sz w:val="26"/>
                <w:szCs w:val="26"/>
                <w:lang w:val="pt-BR"/>
              </w:rPr>
              <w:t>ứn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>g kh</w:t>
            </w:r>
            <w:r w:rsidR="00D327BF" w:rsidRPr="00D327BF">
              <w:rPr>
                <w:color w:val="000000"/>
                <w:sz w:val="26"/>
                <w:szCs w:val="26"/>
                <w:lang w:val="pt-BR"/>
              </w:rPr>
              <w:t>oán</w:t>
            </w:r>
            <w:r w:rsidR="00D327BF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>c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ủa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 xml:space="preserve"> C</w:t>
            </w:r>
            <w:r w:rsidR="00BE73FC" w:rsidRPr="00BE73FC">
              <w:rPr>
                <w:color w:val="000000"/>
                <w:sz w:val="26"/>
                <w:szCs w:val="26"/>
                <w:lang w:val="pt-BR"/>
              </w:rPr>
              <w:t>ô</w:t>
            </w:r>
            <w:r w:rsidR="00BE73FC">
              <w:rPr>
                <w:color w:val="000000"/>
                <w:sz w:val="26"/>
                <w:szCs w:val="26"/>
                <w:lang w:val="pt-BR"/>
              </w:rPr>
              <w:t>ng ty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="009E430D">
              <w:rPr>
                <w:color w:val="000000"/>
                <w:sz w:val="26"/>
                <w:szCs w:val="26"/>
                <w:lang w:val="pt-BR"/>
              </w:rPr>
              <w:t>giảm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m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ạnh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so v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ới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c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ùng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k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ỳ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 xml:space="preserve"> n</w:t>
            </w:r>
            <w:r w:rsidR="00290F4E" w:rsidRPr="00290F4E">
              <w:rPr>
                <w:color w:val="000000"/>
                <w:sz w:val="26"/>
                <w:szCs w:val="26"/>
                <w:lang w:val="pt-BR"/>
              </w:rPr>
              <w:t>ă</w:t>
            </w:r>
            <w:r w:rsidR="00290F4E">
              <w:rPr>
                <w:color w:val="000000"/>
                <w:sz w:val="26"/>
                <w:szCs w:val="26"/>
                <w:lang w:val="pt-BR"/>
              </w:rPr>
              <w:t>m 201</w:t>
            </w:r>
            <w:r w:rsidR="009E430D">
              <w:rPr>
                <w:color w:val="000000"/>
                <w:sz w:val="26"/>
                <w:szCs w:val="26"/>
                <w:lang w:val="pt-BR"/>
              </w:rPr>
              <w:t>4</w:t>
            </w:r>
            <w:r w:rsidR="00290F4E">
              <w:t xml:space="preserve"> </w:t>
            </w:r>
            <w:r w:rsidR="001B051A" w:rsidRPr="00290F4E">
              <w:rPr>
                <w:color w:val="000000"/>
                <w:sz w:val="26"/>
                <w:szCs w:val="26"/>
                <w:lang w:val="pt-BR"/>
              </w:rPr>
              <w:t>dẫn đến lợi nhuận sau thuế Quý I</w:t>
            </w:r>
            <w:r w:rsidR="00297A52">
              <w:rPr>
                <w:color w:val="000000"/>
                <w:sz w:val="26"/>
                <w:szCs w:val="26"/>
                <w:lang w:val="pt-BR"/>
              </w:rPr>
              <w:t>I</w:t>
            </w:r>
            <w:r w:rsidR="001B051A" w:rsidRPr="00290F4E">
              <w:rPr>
                <w:color w:val="000000"/>
                <w:sz w:val="26"/>
                <w:szCs w:val="26"/>
                <w:lang w:val="pt-BR"/>
              </w:rPr>
              <w:t>/201</w:t>
            </w:r>
            <w:r w:rsidR="009E430D">
              <w:rPr>
                <w:color w:val="000000"/>
                <w:sz w:val="26"/>
                <w:szCs w:val="26"/>
                <w:lang w:val="pt-BR"/>
              </w:rPr>
              <w:t>5 giảm tương ứng</w:t>
            </w:r>
            <w:r w:rsidR="001B051A" w:rsidRPr="00290F4E">
              <w:rPr>
                <w:color w:val="000000"/>
                <w:sz w:val="26"/>
                <w:szCs w:val="26"/>
                <w:lang w:val="pt-BR"/>
              </w:rPr>
              <w:t>.</w:t>
            </w:r>
          </w:p>
          <w:p w:rsidR="00390220" w:rsidRPr="00290F4E" w:rsidRDefault="00390220" w:rsidP="003607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607B3" w:rsidRPr="00290F4E" w:rsidRDefault="003607B3" w:rsidP="003607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90F4E">
              <w:rPr>
                <w:sz w:val="26"/>
                <w:szCs w:val="26"/>
              </w:rPr>
              <w:t>Thông</w:t>
            </w:r>
            <w:proofErr w:type="spellEnd"/>
            <w:r w:rsidRPr="00290F4E">
              <w:rPr>
                <w:sz w:val="26"/>
                <w:szCs w:val="26"/>
              </w:rPr>
              <w:t xml:space="preserve"> tin </w:t>
            </w:r>
            <w:proofErr w:type="spellStart"/>
            <w:r w:rsidRPr="00290F4E">
              <w:rPr>
                <w:sz w:val="26"/>
                <w:szCs w:val="26"/>
              </w:rPr>
              <w:t>này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đã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được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công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bố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trên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trang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thông</w:t>
            </w:r>
            <w:proofErr w:type="spellEnd"/>
            <w:r w:rsidRPr="00290F4E">
              <w:rPr>
                <w:sz w:val="26"/>
                <w:szCs w:val="26"/>
              </w:rPr>
              <w:t xml:space="preserve"> tin </w:t>
            </w:r>
            <w:proofErr w:type="spellStart"/>
            <w:r w:rsidRPr="00290F4E">
              <w:rPr>
                <w:sz w:val="26"/>
                <w:szCs w:val="26"/>
              </w:rPr>
              <w:t>điện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tử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của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công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ty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vào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ngày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r w:rsidR="009E430D">
              <w:rPr>
                <w:sz w:val="26"/>
                <w:szCs w:val="26"/>
              </w:rPr>
              <w:t>15/</w:t>
            </w:r>
            <w:r w:rsidR="00D23D4B" w:rsidRPr="00290F4E">
              <w:rPr>
                <w:sz w:val="26"/>
                <w:szCs w:val="26"/>
              </w:rPr>
              <w:t>0</w:t>
            </w:r>
            <w:r w:rsidR="009E430D">
              <w:rPr>
                <w:sz w:val="26"/>
                <w:szCs w:val="26"/>
              </w:rPr>
              <w:t>7</w:t>
            </w:r>
            <w:r w:rsidRPr="00290F4E">
              <w:rPr>
                <w:sz w:val="26"/>
                <w:szCs w:val="26"/>
              </w:rPr>
              <w:t>/201</w:t>
            </w:r>
            <w:r w:rsidR="009E430D">
              <w:rPr>
                <w:sz w:val="26"/>
                <w:szCs w:val="26"/>
              </w:rPr>
              <w:t>5</w:t>
            </w:r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tại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đường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dẫn</w:t>
            </w:r>
            <w:proofErr w:type="spellEnd"/>
            <w:r w:rsidR="006026AC" w:rsidRPr="00290F4E">
              <w:rPr>
                <w:sz w:val="26"/>
                <w:szCs w:val="26"/>
              </w:rPr>
              <w:t xml:space="preserve">: </w:t>
            </w:r>
            <w:r w:rsidR="00891E2C" w:rsidRPr="00891E2C">
              <w:rPr>
                <w:sz w:val="26"/>
                <w:szCs w:val="26"/>
              </w:rPr>
              <w:t>https://www.ocs.com.vn/pages.aspx?mnuid=1096</w:t>
            </w:r>
          </w:p>
          <w:p w:rsidR="00891E2C" w:rsidRDefault="00891E2C" w:rsidP="003607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607B3" w:rsidRDefault="003607B3" w:rsidP="003607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90F4E">
              <w:rPr>
                <w:sz w:val="26"/>
                <w:szCs w:val="26"/>
              </w:rPr>
              <w:t>Chúng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tôi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xin</w:t>
            </w:r>
            <w:proofErr w:type="spellEnd"/>
            <w:r w:rsidRPr="00290F4E">
              <w:rPr>
                <w:sz w:val="26"/>
                <w:szCs w:val="26"/>
              </w:rPr>
              <w:t xml:space="preserve"> cam </w:t>
            </w:r>
            <w:proofErr w:type="spellStart"/>
            <w:r w:rsidRPr="00290F4E">
              <w:rPr>
                <w:sz w:val="26"/>
                <w:szCs w:val="26"/>
              </w:rPr>
              <w:t>kết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các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thông</w:t>
            </w:r>
            <w:proofErr w:type="spellEnd"/>
            <w:r w:rsidRPr="00290F4E">
              <w:rPr>
                <w:sz w:val="26"/>
                <w:szCs w:val="26"/>
              </w:rPr>
              <w:t xml:space="preserve"> tin </w:t>
            </w:r>
            <w:proofErr w:type="spellStart"/>
            <w:r w:rsidRPr="00290F4E">
              <w:rPr>
                <w:sz w:val="26"/>
                <w:szCs w:val="26"/>
              </w:rPr>
              <w:t>công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bố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trên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đây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là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đúng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sự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thật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và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hoàn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toàn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chịu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trách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lastRenderedPageBreak/>
              <w:t>nhiệm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trước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pháp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luật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về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nội</w:t>
            </w:r>
            <w:proofErr w:type="spellEnd"/>
            <w:r w:rsidRPr="00290F4E">
              <w:rPr>
                <w:sz w:val="26"/>
                <w:szCs w:val="26"/>
              </w:rPr>
              <w:t xml:space="preserve"> dung </w:t>
            </w:r>
            <w:proofErr w:type="spellStart"/>
            <w:r w:rsidRPr="00290F4E">
              <w:rPr>
                <w:sz w:val="26"/>
                <w:szCs w:val="26"/>
              </w:rPr>
              <w:t>các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thông</w:t>
            </w:r>
            <w:proofErr w:type="spellEnd"/>
            <w:r w:rsidRPr="00290F4E">
              <w:rPr>
                <w:sz w:val="26"/>
                <w:szCs w:val="26"/>
              </w:rPr>
              <w:t xml:space="preserve"> tin </w:t>
            </w:r>
            <w:proofErr w:type="spellStart"/>
            <w:r w:rsidRPr="00290F4E">
              <w:rPr>
                <w:sz w:val="26"/>
                <w:szCs w:val="26"/>
              </w:rPr>
              <w:t>đã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công</w:t>
            </w:r>
            <w:proofErr w:type="spellEnd"/>
            <w:r w:rsidRPr="00290F4E">
              <w:rPr>
                <w:sz w:val="26"/>
                <w:szCs w:val="26"/>
              </w:rPr>
              <w:t xml:space="preserve"> </w:t>
            </w:r>
            <w:proofErr w:type="spellStart"/>
            <w:r w:rsidRPr="00290F4E">
              <w:rPr>
                <w:sz w:val="26"/>
                <w:szCs w:val="26"/>
              </w:rPr>
              <w:t>bố</w:t>
            </w:r>
            <w:proofErr w:type="spellEnd"/>
            <w:r w:rsidRPr="00290F4E">
              <w:rPr>
                <w:sz w:val="26"/>
                <w:szCs w:val="26"/>
              </w:rPr>
              <w:t>.</w:t>
            </w:r>
          </w:p>
          <w:p w:rsidR="00E42114" w:rsidRDefault="00E42114" w:rsidP="003607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42114" w:rsidRPr="00290F4E" w:rsidRDefault="00E42114" w:rsidP="003607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</w:t>
            </w:r>
            <w:r w:rsidRPr="00E42114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</w:t>
            </w:r>
            <w:r w:rsidRPr="00E42114">
              <w:rPr>
                <w:sz w:val="26"/>
                <w:szCs w:val="26"/>
              </w:rPr>
              <w:t>ọng</w:t>
            </w:r>
            <w:proofErr w:type="spellEnd"/>
            <w:proofErr w:type="gramStart"/>
            <w:r>
              <w:rPr>
                <w:sz w:val="26"/>
                <w:szCs w:val="26"/>
              </w:rPr>
              <w:t>./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80580C" w:rsidRPr="00AB568C" w:rsidRDefault="0080580C" w:rsidP="000D10B4">
            <w:pPr>
              <w:spacing w:line="295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B56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  <w:p w:rsidR="0080580C" w:rsidRPr="00AF3F93" w:rsidRDefault="0080580C" w:rsidP="000D10B4">
            <w:pPr>
              <w:spacing w:line="312" w:lineRule="auto"/>
              <w:jc w:val="right"/>
              <w:rPr>
                <w:rFonts w:ascii="Arial" w:hAnsi="Arial" w:cs="Arial"/>
                <w:i/>
                <w:lang w:val="pt-BR"/>
              </w:rPr>
            </w:pPr>
          </w:p>
        </w:tc>
      </w:tr>
      <w:tr w:rsidR="003607B3" w:rsidRPr="00AF3F93" w:rsidTr="00D23D4B">
        <w:tc>
          <w:tcPr>
            <w:tcW w:w="4815" w:type="dxa"/>
          </w:tcPr>
          <w:p w:rsidR="003607B3" w:rsidRPr="00F3494D" w:rsidRDefault="003607B3" w:rsidP="00EB234A">
            <w:pPr>
              <w:spacing w:line="312" w:lineRule="auto"/>
              <w:jc w:val="both"/>
              <w:rPr>
                <w:rFonts w:ascii="Arial" w:hAnsi="Arial" w:cs="Arial"/>
                <w:b/>
                <w:i/>
                <w:u w:val="single"/>
                <w:lang w:val="pt-BR"/>
              </w:rPr>
            </w:pPr>
          </w:p>
          <w:p w:rsidR="00FA6940" w:rsidRDefault="003607B3" w:rsidP="00EB234A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2369A7">
              <w:rPr>
                <w:b/>
                <w:i/>
                <w:sz w:val="26"/>
                <w:szCs w:val="26"/>
                <w:u w:val="single"/>
              </w:rPr>
              <w:t>Tài</w:t>
            </w:r>
            <w:proofErr w:type="spellEnd"/>
            <w:r w:rsidRPr="002369A7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369A7">
              <w:rPr>
                <w:b/>
                <w:i/>
                <w:sz w:val="26"/>
                <w:szCs w:val="26"/>
                <w:u w:val="single"/>
              </w:rPr>
              <w:t>liệu</w:t>
            </w:r>
            <w:proofErr w:type="spellEnd"/>
            <w:r w:rsidRPr="002369A7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369A7">
              <w:rPr>
                <w:b/>
                <w:i/>
                <w:sz w:val="26"/>
                <w:szCs w:val="26"/>
                <w:u w:val="single"/>
              </w:rPr>
              <w:t>đính</w:t>
            </w:r>
            <w:proofErr w:type="spellEnd"/>
            <w:r w:rsidRPr="002369A7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369A7">
              <w:rPr>
                <w:b/>
                <w:i/>
                <w:sz w:val="26"/>
                <w:szCs w:val="26"/>
                <w:u w:val="single"/>
              </w:rPr>
              <w:t>kèm</w:t>
            </w:r>
            <w:proofErr w:type="spellEnd"/>
            <w:r w:rsidRPr="002369A7">
              <w:rPr>
                <w:b/>
                <w:sz w:val="26"/>
                <w:szCs w:val="26"/>
              </w:rPr>
              <w:tab/>
            </w:r>
            <w:r w:rsidRPr="002369A7">
              <w:rPr>
                <w:b/>
                <w:sz w:val="26"/>
                <w:szCs w:val="26"/>
              </w:rPr>
              <w:tab/>
            </w:r>
            <w:r w:rsidRPr="002369A7">
              <w:rPr>
                <w:b/>
                <w:sz w:val="26"/>
                <w:szCs w:val="26"/>
              </w:rPr>
              <w:tab/>
            </w:r>
            <w:r w:rsidRPr="002369A7">
              <w:rPr>
                <w:b/>
                <w:sz w:val="26"/>
                <w:szCs w:val="26"/>
              </w:rPr>
              <w:tab/>
            </w:r>
          </w:p>
          <w:p w:rsidR="003607B3" w:rsidRPr="00AF3F93" w:rsidRDefault="003607B3" w:rsidP="00EB234A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  <w:r w:rsidRPr="00AF3F93">
              <w:rPr>
                <w:rFonts w:ascii="Arial" w:hAnsi="Arial" w:cs="Arial"/>
                <w:b/>
                <w:sz w:val="22"/>
                <w:szCs w:val="22"/>
              </w:rPr>
              <w:t xml:space="preserve">-  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Báo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cáo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tài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chính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B051A">
              <w:rPr>
                <w:rFonts w:ascii="Arial" w:hAnsi="Arial" w:cs="Arial"/>
                <w:i/>
                <w:sz w:val="22"/>
                <w:szCs w:val="22"/>
              </w:rPr>
              <w:t>Quý</w:t>
            </w:r>
            <w:proofErr w:type="spellEnd"/>
            <w:r w:rsidR="001B05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97A5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BE283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B05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B051A"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 w:rsidR="001B051A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9E430D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1B051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AF3F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607B3" w:rsidRPr="00AF3F93" w:rsidRDefault="003607B3" w:rsidP="00EB234A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65" w:type="dxa"/>
            <w:gridSpan w:val="2"/>
          </w:tcPr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Pr="002369A7" w:rsidRDefault="003607B3" w:rsidP="00FA6940">
            <w:pPr>
              <w:spacing w:line="312" w:lineRule="auto"/>
              <w:ind w:left="-603" w:firstLine="603"/>
              <w:jc w:val="center"/>
              <w:rPr>
                <w:b/>
              </w:rPr>
            </w:pPr>
            <w:r w:rsidRPr="002369A7">
              <w:rPr>
                <w:b/>
                <w:sz w:val="22"/>
                <w:szCs w:val="22"/>
              </w:rPr>
              <w:t>NGƯỜI ĐƯỢC ỦY QUYỀN CÔNG BỐ THÔNG TIN</w:t>
            </w:r>
          </w:p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203B80" w:rsidRPr="00AF3F93" w:rsidRDefault="00203B80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Default="00203B80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Nguyễn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Phương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Thảo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đã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3607B3" w:rsidRPr="00AF3F93" w:rsidRDefault="003607B3" w:rsidP="00EB234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80580C" w:rsidRPr="00AF3F93" w:rsidRDefault="0080580C" w:rsidP="0080580C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0580C" w:rsidRDefault="0080580C" w:rsidP="003607B3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F3F93">
        <w:rPr>
          <w:rFonts w:ascii="Arial" w:hAnsi="Arial" w:cs="Arial"/>
          <w:sz w:val="22"/>
          <w:szCs w:val="22"/>
          <w:lang w:val="pt-BR"/>
        </w:rPr>
        <w:t xml:space="preserve">                          </w:t>
      </w:r>
    </w:p>
    <w:p w:rsidR="0080580C" w:rsidRPr="00D64F45" w:rsidRDefault="0080580C" w:rsidP="0080580C">
      <w:pPr>
        <w:spacing w:line="312" w:lineRule="auto"/>
        <w:jc w:val="both"/>
        <w:rPr>
          <w:rFonts w:ascii="Arial" w:hAnsi="Arial" w:cs="Arial"/>
          <w:color w:val="000000"/>
          <w:sz w:val="10"/>
          <w:szCs w:val="22"/>
          <w:lang w:val="pt-BR"/>
        </w:rPr>
      </w:pPr>
      <w:r w:rsidRPr="00AF3F93">
        <w:rPr>
          <w:rFonts w:ascii="Arial" w:hAnsi="Arial" w:cs="Arial"/>
          <w:color w:val="000000"/>
          <w:sz w:val="22"/>
          <w:szCs w:val="22"/>
          <w:lang w:val="pt-BR"/>
        </w:rPr>
        <w:t xml:space="preserve">        </w:t>
      </w:r>
    </w:p>
    <w:p w:rsidR="0080580C" w:rsidRPr="00AF3F93" w:rsidRDefault="0080580C" w:rsidP="0080580C">
      <w:pPr>
        <w:spacing w:line="312" w:lineRule="auto"/>
        <w:ind w:left="5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0580C" w:rsidRDefault="0080580C"/>
    <w:sectPr w:rsidR="0080580C" w:rsidSect="0001786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B0A"/>
    <w:multiLevelType w:val="hybridMultilevel"/>
    <w:tmpl w:val="F2F2CAE8"/>
    <w:lvl w:ilvl="0" w:tplc="DDE8A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F4F"/>
    <w:multiLevelType w:val="hybridMultilevel"/>
    <w:tmpl w:val="0F84B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081DA1"/>
    <w:multiLevelType w:val="hybridMultilevel"/>
    <w:tmpl w:val="822E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420A"/>
    <w:multiLevelType w:val="hybridMultilevel"/>
    <w:tmpl w:val="3822DC06"/>
    <w:lvl w:ilvl="0" w:tplc="32A09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80C"/>
    <w:rsid w:val="0001786A"/>
    <w:rsid w:val="00040736"/>
    <w:rsid w:val="001A7B5E"/>
    <w:rsid w:val="001B051A"/>
    <w:rsid w:val="001D617D"/>
    <w:rsid w:val="00203B80"/>
    <w:rsid w:val="002369A7"/>
    <w:rsid w:val="0025321B"/>
    <w:rsid w:val="002632C7"/>
    <w:rsid w:val="00290F4E"/>
    <w:rsid w:val="00297A52"/>
    <w:rsid w:val="002D5634"/>
    <w:rsid w:val="003607B3"/>
    <w:rsid w:val="00372AA2"/>
    <w:rsid w:val="00390220"/>
    <w:rsid w:val="004379C0"/>
    <w:rsid w:val="004B124B"/>
    <w:rsid w:val="004B6D3C"/>
    <w:rsid w:val="00510097"/>
    <w:rsid w:val="005635EF"/>
    <w:rsid w:val="005E2D48"/>
    <w:rsid w:val="006026AC"/>
    <w:rsid w:val="006A632B"/>
    <w:rsid w:val="006B1037"/>
    <w:rsid w:val="006F145C"/>
    <w:rsid w:val="007C0EF4"/>
    <w:rsid w:val="007C7736"/>
    <w:rsid w:val="00803906"/>
    <w:rsid w:val="0080580C"/>
    <w:rsid w:val="00831FB8"/>
    <w:rsid w:val="00844476"/>
    <w:rsid w:val="00860EFB"/>
    <w:rsid w:val="00891E2C"/>
    <w:rsid w:val="008C54BE"/>
    <w:rsid w:val="008D4FD8"/>
    <w:rsid w:val="008F0011"/>
    <w:rsid w:val="009046E3"/>
    <w:rsid w:val="00923D92"/>
    <w:rsid w:val="00946487"/>
    <w:rsid w:val="00973011"/>
    <w:rsid w:val="009779B3"/>
    <w:rsid w:val="00982853"/>
    <w:rsid w:val="009D0C22"/>
    <w:rsid w:val="009E430D"/>
    <w:rsid w:val="00A069FF"/>
    <w:rsid w:val="00AD7F09"/>
    <w:rsid w:val="00B46C86"/>
    <w:rsid w:val="00B82C8C"/>
    <w:rsid w:val="00BE283E"/>
    <w:rsid w:val="00BE73FC"/>
    <w:rsid w:val="00C4168A"/>
    <w:rsid w:val="00D23D4B"/>
    <w:rsid w:val="00D327BF"/>
    <w:rsid w:val="00D3500B"/>
    <w:rsid w:val="00E2362E"/>
    <w:rsid w:val="00E33514"/>
    <w:rsid w:val="00E42114"/>
    <w:rsid w:val="00F25CB9"/>
    <w:rsid w:val="00F50E3D"/>
    <w:rsid w:val="00FA6940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07B3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580C"/>
    <w:rPr>
      <w:color w:val="0000FF"/>
      <w:u w:val="single"/>
    </w:rPr>
  </w:style>
  <w:style w:type="paragraph" w:styleId="ListParagraph">
    <w:name w:val="List Paragraph"/>
    <w:basedOn w:val="Normal"/>
    <w:qFormat/>
    <w:rsid w:val="003607B3"/>
    <w:pPr>
      <w:spacing w:before="120"/>
      <w:ind w:left="720" w:firstLine="720"/>
      <w:contextualSpacing/>
      <w:jc w:val="both"/>
    </w:pPr>
  </w:style>
  <w:style w:type="character" w:customStyle="1" w:styleId="Heading8Char">
    <w:name w:val="Heading 8 Char"/>
    <w:basedOn w:val="DefaultParagraphFont"/>
    <w:link w:val="Heading8"/>
    <w:rsid w:val="003607B3"/>
    <w:rPr>
      <w:rFonts w:ascii=".VnTime" w:eastAsia="Times New Roman" w:hAnsi=".VnTime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ifPp1Lq5ox8rRR7td+jqoPuqRtk=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KXPydk32vBwCf9e0qtaoCLV0wQBjQv7cQW5cPeVli69BEbJINc1CToqVYqWqSNsKifxHzMYz
    EI3fuZ597NsX/c3UWTDHKzTpka71DwuE2+SGFO3ov5rCkTY3962V9vMiHcoICQiuOt1HZM6T
    fcFoczINdxzq+MLwJLEqJdWd6Cg=
  </SignatureValue>
  <KeyInfo>
    <KeyValue>
      <RSAKeyValue>
        <Modulus>
            5Sepz6Mt/x6oRtTON04WIVNblhrJ1rW1bNT0wIgtuSd7p2J2srwb2ZXCu7st9UitBPBKYqmV
            8l5U5o71BjHz0mXCnqSMfkx65l/OCTxK9FEUGwBAbOWJotHLH2jBhoZ/YC9SQ8Z0/hb6Bg83
            MlY6VbA/PYb/04vH9NbMw1iiEjc=
          </Modulus>
        <Exponent>AQAB</Exponent>
      </RSAKeyValue>
    </KeyValue>
    <X509Data>
      <X509Certificate>
          MIIGKzCCBBOgAwIBAgIQVAFqPctabSEVUqQVcnlbpTANBgkqhkiG9w0BAQUFADBpMQswCQYD
          VQQGEwJWTjETMBEGA1UEChMKVk5QVCBHcm91cDEeMBwGA1UECxMVVk5QVC1DQSBUcnVzdCBO
          ZXR3b3JrMSUwIwYDVQQDExxWTlBUIENlcnRpZmljYXRpb24gQXV0aG9yaXR5MB4XDTE1MDcx
          NzA3NDQwMFoXDTE4MDgwODExMjgwMFowgfQxCzAJBgNVBAYTAlZOMRIwEAYDVQQIDAlIw6Ag
          TuG7mWkxEjAQBgNVBAcMCUJhIMSQw6xuaDE7MDkGA1UECgwyQ8OUTkcgVFkgQ+G7lCBQSOG6
          pk4gQ0jhu6hORyBLSE/DgU4gxJDhuqBJIETGr8agTkcxGTAXBgNVBAsMEEJhbiBHacOhbSDE
          kOG7kWMxHDAaBgNVBAwME1Thu5VuZyBHacOhbSDEkOG7kWMxJzAlBgNVBAMMHk5HVVnhu4RO
          IFRI4buKIFBIxq/GoE5HIFRI4bqiTzEeMBwGCgmSJomT8ixkAQEMDkNNTkQ6MDMxMTkwNTQz
          MIGfMA0GCSqGSIb3DQEBAQUAA4GNADCBiQKBgQDlJ6nPoy3/HqhG1M43ThYhU1uWGsnWtbVs
          1PTAiC25J3unYnayvBvZlcK7uy31SK0E8EpiqZXyXlTmjvUGMfPSZcKepIx+THrmX84JPEr0
          URQbAEBs5Ymi0csfaMGGhn9gL1JDxnT+FvoGDzcyVjpVsD89hv/Ti8f01szDWKISNwIDAQAB
          o4IBxTCCAcEwcAYIKwYBBQUHAQEEZDBiMDIGCCsGAQUFBzAChiZodHRwOi8vcHViLnZucHQt
          Y2Eudm4vY2VydHMvdm5wdGNhLmNlcjAsBggrBgEFBQcwAYYgaHR0cDovL29jc3Audm5wdC1j
          YS52bi9yZXNwb25kZXIwHQYDVR0OBBYEFBF20MaSHxN1AbNLLPBeIgfyvj0NMAwGA1UdEwEB
          /wQCMAAwHwYDVR0jBBgwFoAUBmnA1dUCihWNRn3pfOJoClWsaq8waAYDVR0gBGEwXzBdBg4r
          BgEEAYHtAwEBAwEDAjBLMCIGCCsGAQUFBwICMBYeFABTAEkARAAtAFAAUgAtADEALgAwMCUG
          CCsGAQUFBwIBFhlodHRwOi8vcHViLnZucHQtY2Eudm4vcnBhMDEGA1UdHwQqMCgwJqAkoCKG
          IGh0dHA6Ly9jcmwudm5wdC1jYS52bi92bnB0Y2EuY3JsMA4GA1UdDwEB/wQEAwIE8DA0BgNV
          HSUELTArBggrBgEFBQcDAgYIKwYBBQUHAwQGCisGAQQBgjcKAwwGCSqGSIb3LwEBBTAcBgNV
          HREEFTATgRF0aGFvbnBAb2NzLmNvbS52bjANBgkqhkiG9w0BAQUFAAOCAgEAV0wZsKZSBjEv
          j+ZbfoTemXXxDfnOmURQs+cPd6W9xdikAJ34ze48+3ff2kBcxplmSr15+TQj4MRBW1SZaq/K
          JPvdUIALoR6vBixDLuItHo3FG/e9XAbZhPzuEypJGR8U4itmrhbhlqMeA2JKAnjYzRqXFIGL
          8HMwWVY3Todge1sb6+zYLDt0UBNJzPX87gt66R2eE4bHPz3nJyyh8ZKP+tiFaVqiKzGtV1PW
          QyaxVTK/5xmMzQuuML4JD5yC9SPl/v5NG/n8PfS2eJlFG6kLqDxmAicZ29gtLTd3lr/W+yHG
          KUhvehFdTkxG7usf0tO9z1T0mg3jT9Bh9rEXtDS90/rJxPFo8NRFeKHyH6jsMgkSLv8DFWRn
          6//GR5J2QPwnl69aL4S0fuW7y14RshQmCMZJbEggLKDwS8mrmwdb4C7/CW7gbiX7oktzelvf
          3oBhuuzVST3WoJ5wTE1NDgfSxRjBJyMDGICUbaw2Lx3AfamE/jh81HakiIsp67Nf8P0NqTTV
          IbzuZCpz64PEm2rCTRmYMsJLY7A3VS5mqmzKKsT48LDeyLBAQB/AWWSfKfWeYxl1msJ/g+8Y
          nBYC8q1wNtMuUNl4mXT3g3K1NF/JwpjkSGLNZsIcODtjXVuTAw0BzcQ5Dt73kKFdD53rZ3Ln
          EA+2ox6tmzie80Q6RdxvNeU=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copjm0k0XKk3+6zHhHMM3/R3NeY=</DigestValue>
      </Reference>
      <Reference URI="/word/fontTable.xml?ContentType=application/vnd.openxmlformats-officedocument.wordprocessingml.fontTable+xml">
        <DigestMethod Algorithm="http://www.w3.org/2000/09/xmldsig#sha1"/>
        <DigestValue>/FAct/oGrrJ3w402l4hiBWPfeLE=</DigestValue>
      </Reference>
      <Reference URI="/word/numbering.xml?ContentType=application/vnd.openxmlformats-officedocument.wordprocessingml.numbering+xml">
        <DigestMethod Algorithm="http://www.w3.org/2000/09/xmldsig#sha1"/>
        <DigestValue>PQjiykwPZFyz8P+xMlIsYYBpcmg=</DigestValue>
      </Reference>
      <Reference URI="/word/settings.xml?ContentType=application/vnd.openxmlformats-officedocument.wordprocessingml.settings+xml">
        <DigestMethod Algorithm="http://www.w3.org/2000/09/xmldsig#sha1"/>
        <DigestValue>SR9RlDCN1hyQivXLF1gSsEp4DXI=</DigestValue>
      </Reference>
      <Reference URI="/word/styles.xml?ContentType=application/vnd.openxmlformats-officedocument.wordprocessingml.styles+xml">
        <DigestMethod Algorithm="http://www.w3.org/2000/09/xmldsig#sha1"/>
        <DigestValue>Rr7sRYhxjYo3dqzgH0OUghmJyUk=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9IGbWNUxTYNG8S53wEpsfuqZhWQ=</DigestValue>
      </Reference>
    </Manifest>
    <SignatureProperties>
      <SignatureProperty Id="idSignatureTime" Target="#idPackageSignature">
        <mdssi:SignatureTime>
          <mdssi:Format>YYYY-MM-DDThh:mm:ssTZD</mdssi:Format>
          <mdssi:Value>2015-07-21T04:12:13Z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hangvtt</dc:creator>
  <cp:lastModifiedBy>hangntb</cp:lastModifiedBy>
  <cp:revision>23</cp:revision>
  <cp:lastPrinted>2015-07-15T08:17:00Z</cp:lastPrinted>
  <dcterms:created xsi:type="dcterms:W3CDTF">2013-10-17T10:21:00Z</dcterms:created>
  <dcterms:modified xsi:type="dcterms:W3CDTF">2015-07-21T02:47:00Z</dcterms:modified>
</cp:coreProperties>
</file>